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D50" w:rsidRPr="00AB30E7" w:rsidRDefault="00161D50" w:rsidP="00AB30E7">
      <w:pPr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  <w:shd w:val="clear" w:color="auto" w:fill="FFFFFF"/>
        </w:rPr>
      </w:pPr>
      <w:r w:rsidRPr="00AB30E7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  <w:shd w:val="clear" w:color="auto" w:fill="FFFFFF"/>
        </w:rPr>
        <w:t xml:space="preserve">Proyecto de Consorcio FCT-Erasmus+ XII </w:t>
      </w:r>
    </w:p>
    <w:p w:rsidR="00161D50" w:rsidRPr="00AB30E7" w:rsidRDefault="00161D50" w:rsidP="00AB30E7">
      <w:pPr>
        <w:jc w:val="both"/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  <w:shd w:val="clear" w:color="auto" w:fill="FFFFFF"/>
        </w:rPr>
      </w:pPr>
      <w:r w:rsidRPr="00AB30E7">
        <w:rPr>
          <w:rFonts w:ascii="Times New Roman" w:hAnsi="Times New Roman" w:cs="Times New Roman"/>
          <w:b/>
          <w:bCs/>
          <w:color w:val="212121"/>
          <w:sz w:val="24"/>
          <w:szCs w:val="24"/>
          <w:u w:val="single"/>
          <w:shd w:val="clear" w:color="auto" w:fill="FFFFFF"/>
        </w:rPr>
        <w:t>2018-1-ES01-KA103-047078</w:t>
      </w:r>
    </w:p>
    <w:p w:rsidR="00DB791A" w:rsidRPr="00AB30E7" w:rsidRDefault="00DB791A" w:rsidP="00AB30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DB791A" w:rsidRDefault="00DB791A" w:rsidP="00AB30E7">
      <w:pPr>
        <w:rPr>
          <w:rFonts w:ascii="Liberation Serif" w:hAnsi="Liberation Serif"/>
          <w:color w:val="212121"/>
          <w:sz w:val="23"/>
          <w:szCs w:val="23"/>
          <w:shd w:val="clear" w:color="auto" w:fill="FFFFFF"/>
        </w:rPr>
      </w:pPr>
      <w:r>
        <w:rPr>
          <w:rFonts w:ascii="Liberation Serif" w:hAnsi="Liberation Serif"/>
          <w:color w:val="212121"/>
          <w:sz w:val="23"/>
          <w:szCs w:val="23"/>
          <w:shd w:val="clear" w:color="auto" w:fill="FFFFFF"/>
        </w:rPr>
        <w:t>SALIDA marzo-junio 2019</w:t>
      </w:r>
      <w:r>
        <w:rPr>
          <w:rFonts w:ascii="Liberation Serif" w:hAnsi="Liberation Serif"/>
          <w:color w:val="212121"/>
          <w:sz w:val="23"/>
          <w:szCs w:val="23"/>
        </w:rPr>
        <w:br/>
      </w:r>
      <w:r>
        <w:rPr>
          <w:rFonts w:ascii="Liberation Serif" w:hAnsi="Liberation Serif"/>
          <w:color w:val="212121"/>
          <w:sz w:val="23"/>
          <w:szCs w:val="23"/>
        </w:rPr>
        <w:br/>
      </w:r>
      <w:r>
        <w:rPr>
          <w:rFonts w:ascii="Liberation Serif" w:hAnsi="Liberation Serif"/>
          <w:color w:val="212121"/>
          <w:sz w:val="23"/>
          <w:szCs w:val="23"/>
          <w:shd w:val="clear" w:color="auto" w:fill="FFFFFF"/>
        </w:rPr>
        <w:t>La selección del alumnado y los CV deberán estar </w:t>
      </w:r>
      <w:r>
        <w:rPr>
          <w:rFonts w:ascii="Liberation Serif" w:hAnsi="Liberation Serif"/>
          <w:b/>
          <w:bCs/>
          <w:color w:val="212121"/>
          <w:sz w:val="23"/>
          <w:szCs w:val="23"/>
          <w:shd w:val="clear" w:color="auto" w:fill="FFFFFF"/>
        </w:rPr>
        <w:t>ENVIADOS CON FECHA LÍMITE 16 DE NOVIEMBRE DE 2018</w:t>
      </w:r>
      <w:r>
        <w:rPr>
          <w:rFonts w:ascii="Liberation Serif" w:hAnsi="Liberation Serif"/>
          <w:color w:val="212121"/>
          <w:sz w:val="23"/>
          <w:szCs w:val="23"/>
          <w:shd w:val="clear" w:color="auto" w:fill="FFFFFF"/>
        </w:rPr>
        <w:t>.</w:t>
      </w:r>
    </w:p>
    <w:p w:rsidR="00DB791A" w:rsidRDefault="00DB791A" w:rsidP="00AB30E7">
      <w:pPr>
        <w:jc w:val="both"/>
        <w:rPr>
          <w:rFonts w:ascii="Liberation Serif" w:hAnsi="Liberation Serif"/>
          <w:color w:val="212121"/>
          <w:sz w:val="23"/>
          <w:szCs w:val="23"/>
          <w:shd w:val="clear" w:color="auto" w:fill="FFFFFF"/>
        </w:rPr>
      </w:pPr>
    </w:p>
    <w:p w:rsidR="00DB791A" w:rsidRPr="003E6644" w:rsidRDefault="00DB791A" w:rsidP="00AB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E6644">
        <w:rPr>
          <w:rFonts w:ascii="Liberation Serif" w:eastAsia="Times New Roman" w:hAnsi="Liberation Serif" w:cs="Times New Roman"/>
          <w:b/>
          <w:bCs/>
          <w:color w:val="212121"/>
          <w:sz w:val="27"/>
          <w:szCs w:val="27"/>
          <w:u w:val="single"/>
          <w:shd w:val="clear" w:color="auto" w:fill="FFFFFF"/>
          <w:lang w:eastAsia="es-ES"/>
        </w:rPr>
        <w:t xml:space="preserve">CV </w:t>
      </w:r>
      <w:proofErr w:type="spellStart"/>
      <w:r w:rsidRPr="003E6644">
        <w:rPr>
          <w:rFonts w:ascii="Liberation Serif" w:eastAsia="Times New Roman" w:hAnsi="Liberation Serif" w:cs="Times New Roman"/>
          <w:b/>
          <w:bCs/>
          <w:color w:val="212121"/>
          <w:sz w:val="27"/>
          <w:szCs w:val="27"/>
          <w:u w:val="single"/>
          <w:shd w:val="clear" w:color="auto" w:fill="FFFFFF"/>
          <w:lang w:eastAsia="es-ES"/>
        </w:rPr>
        <w:t>Europass</w:t>
      </w:r>
      <w:proofErr w:type="spellEnd"/>
      <w:r w:rsidRPr="003E6644">
        <w:rPr>
          <w:rFonts w:ascii="Liberation Serif" w:eastAsia="Times New Roman" w:hAnsi="Liberation Serif" w:cs="Times New Roman"/>
          <w:color w:val="212121"/>
          <w:sz w:val="23"/>
          <w:szCs w:val="23"/>
          <w:shd w:val="clear" w:color="auto" w:fill="FFFFFF"/>
          <w:lang w:eastAsia="es-ES"/>
        </w:rPr>
        <w:br/>
      </w:r>
      <w:r w:rsidRPr="003E6644">
        <w:rPr>
          <w:rFonts w:ascii="Liberation Serif" w:eastAsia="Times New Roman" w:hAnsi="Liberation Serif" w:cs="Times New Roman"/>
          <w:color w:val="212121"/>
          <w:sz w:val="23"/>
          <w:szCs w:val="23"/>
          <w:shd w:val="clear" w:color="auto" w:fill="FFFFFF"/>
          <w:lang w:eastAsia="es-ES"/>
        </w:rPr>
        <w:br/>
      </w:r>
      <w:r w:rsidRPr="003E6644">
        <w:rPr>
          <w:rFonts w:ascii="Liberation Serif" w:eastAsia="Times New Roman" w:hAnsi="Liberation Serif" w:cs="Times New Roman"/>
          <w:color w:val="212121"/>
          <w:sz w:val="23"/>
          <w:szCs w:val="23"/>
          <w:shd w:val="clear" w:color="auto" w:fill="FFFFFF"/>
          <w:lang w:eastAsia="es-ES"/>
        </w:rPr>
        <w:br/>
        <w:t>Los alumnos seleccionados deberán proporcionar su </w:t>
      </w:r>
      <w:r w:rsidRPr="003E6644">
        <w:rPr>
          <w:rFonts w:ascii="Liberation Serif" w:eastAsia="Times New Roman" w:hAnsi="Liberation Serif" w:cs="Times New Roman"/>
          <w:b/>
          <w:bCs/>
          <w:color w:val="212121"/>
          <w:sz w:val="23"/>
          <w:szCs w:val="23"/>
          <w:shd w:val="clear" w:color="auto" w:fill="FFFFFF"/>
          <w:lang w:eastAsia="es-ES"/>
        </w:rPr>
        <w:t xml:space="preserve">CV </w:t>
      </w:r>
      <w:proofErr w:type="spellStart"/>
      <w:r w:rsidRPr="003E6644">
        <w:rPr>
          <w:rFonts w:ascii="Liberation Serif" w:eastAsia="Times New Roman" w:hAnsi="Liberation Serif" w:cs="Times New Roman"/>
          <w:b/>
          <w:bCs/>
          <w:color w:val="212121"/>
          <w:sz w:val="23"/>
          <w:szCs w:val="23"/>
          <w:shd w:val="clear" w:color="auto" w:fill="FFFFFF"/>
          <w:lang w:eastAsia="es-ES"/>
        </w:rPr>
        <w:t>Europass</w:t>
      </w:r>
      <w:proofErr w:type="spellEnd"/>
      <w:r w:rsidRPr="003E6644">
        <w:rPr>
          <w:rFonts w:ascii="Liberation Serif" w:eastAsia="Times New Roman" w:hAnsi="Liberation Serif" w:cs="Times New Roman"/>
          <w:b/>
          <w:bCs/>
          <w:color w:val="212121"/>
          <w:sz w:val="23"/>
          <w:szCs w:val="23"/>
          <w:shd w:val="clear" w:color="auto" w:fill="FFFFFF"/>
          <w:lang w:eastAsia="es-ES"/>
        </w:rPr>
        <w:t> </w:t>
      </w:r>
      <w:r w:rsidRPr="003E6644">
        <w:rPr>
          <w:rFonts w:ascii="Liberation Serif" w:eastAsia="Times New Roman" w:hAnsi="Liberation Serif" w:cs="Times New Roman"/>
          <w:color w:val="212121"/>
          <w:sz w:val="23"/>
          <w:szCs w:val="23"/>
          <w:shd w:val="clear" w:color="auto" w:fill="FFFFFF"/>
          <w:lang w:eastAsia="es-ES"/>
        </w:rPr>
        <w:t>según modelo que se encuentra en la página del SEPIE. Este CV:</w:t>
      </w:r>
      <w:r w:rsidRPr="003E6644">
        <w:rPr>
          <w:rFonts w:ascii="Liberation Serif" w:eastAsia="Times New Roman" w:hAnsi="Liberation Serif" w:cs="Times New Roman"/>
          <w:color w:val="212121"/>
          <w:sz w:val="23"/>
          <w:szCs w:val="23"/>
          <w:shd w:val="clear" w:color="auto" w:fill="FFFFFF"/>
          <w:lang w:eastAsia="es-ES"/>
        </w:rPr>
        <w:br/>
      </w:r>
    </w:p>
    <w:p w:rsidR="00DB791A" w:rsidRPr="003E6644" w:rsidRDefault="00DB791A" w:rsidP="00AB30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>Tiene que realizarse en inglés o bien en el idioma del país destino.</w:t>
      </w:r>
    </w:p>
    <w:p w:rsidR="00DB791A" w:rsidRPr="003E6644" w:rsidRDefault="00DB791A" w:rsidP="00AB30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>Debe incluir una foto reciente orientada a una entrevista laboral.</w:t>
      </w:r>
    </w:p>
    <w:p w:rsidR="00DB791A" w:rsidRPr="003E6644" w:rsidRDefault="00DB791A" w:rsidP="00AB30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 xml:space="preserve">Debe ir enfocado al ciclo formativo que se cursa, evitando referir ninguna experiencia profesional sin relación con él en el apartado " </w:t>
      </w:r>
      <w:proofErr w:type="spellStart"/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>Work</w:t>
      </w:r>
      <w:proofErr w:type="spellEnd"/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 xml:space="preserve"> </w:t>
      </w:r>
      <w:proofErr w:type="spellStart"/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>Experience</w:t>
      </w:r>
      <w:proofErr w:type="spellEnd"/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>".</w:t>
      </w:r>
    </w:p>
    <w:p w:rsidR="00DB791A" w:rsidRPr="003E6644" w:rsidRDefault="00DB791A" w:rsidP="00AB30E7">
      <w:pPr>
        <w:numPr>
          <w:ilvl w:val="0"/>
          <w:numId w:val="7"/>
        </w:numPr>
        <w:shd w:val="clear" w:color="auto" w:fill="FFFFFF"/>
        <w:spacing w:beforeAutospacing="1" w:after="0" w:afterAutospacing="1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 xml:space="preserve">Debe indicar claramente el ciclo formativo que se cursa y detallar los módulos profesionales cursados en el ciclo. Para eso se recomienda consultar los suplementos </w:t>
      </w:r>
      <w:proofErr w:type="spellStart"/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>Europass</w:t>
      </w:r>
      <w:proofErr w:type="spellEnd"/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 xml:space="preserve"> a los títulos en el portal </w:t>
      </w:r>
      <w:hyperlink r:id="rId6" w:tgtFrame="_blank" w:history="1">
        <w:r w:rsidRPr="003E6644">
          <w:rPr>
            <w:rFonts w:ascii="Liberation Serif" w:eastAsia="Times New Roman" w:hAnsi="Liberation Serif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www.todofp.es</w:t>
        </w:r>
      </w:hyperlink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> (</w:t>
      </w:r>
      <w:hyperlink r:id="rId7" w:tgtFrame="_blank" w:history="1">
        <w:r w:rsidRPr="003E6644">
          <w:rPr>
            <w:rFonts w:ascii="Liberation Serif" w:eastAsia="Times New Roman" w:hAnsi="Liberation Serif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LOE</w:t>
        </w:r>
      </w:hyperlink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> y </w:t>
      </w:r>
      <w:hyperlink r:id="rId8" w:tgtFrame="_blank" w:history="1">
        <w:r w:rsidRPr="003E6644">
          <w:rPr>
            <w:rFonts w:ascii="Liberation Serif" w:eastAsia="Times New Roman" w:hAnsi="Liberation Serif" w:cs="Segoe UI"/>
            <w:color w:val="0000FF"/>
            <w:sz w:val="23"/>
            <w:szCs w:val="23"/>
            <w:u w:val="single"/>
            <w:bdr w:val="none" w:sz="0" w:space="0" w:color="auto" w:frame="1"/>
            <w:lang w:eastAsia="es-ES"/>
          </w:rPr>
          <w:t>LOGSE</w:t>
        </w:r>
      </w:hyperlink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>).</w:t>
      </w:r>
    </w:p>
    <w:p w:rsidR="00DB791A" w:rsidRPr="003E6644" w:rsidRDefault="00DB791A" w:rsidP="00AB30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>Debe indicar en letra mayúscula la denominación oficial del Ciclo que cursa.</w:t>
      </w:r>
    </w:p>
    <w:p w:rsidR="00DB791A" w:rsidRPr="003E6644" w:rsidRDefault="00DB791A" w:rsidP="00AB30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>Puede incluir cualquier experiencia profesional diferente del ciclo para el que se está solicitando las prácticas en "</w:t>
      </w:r>
      <w:proofErr w:type="spellStart"/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>Additional</w:t>
      </w:r>
      <w:proofErr w:type="spellEnd"/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 xml:space="preserve"> </w:t>
      </w:r>
      <w:proofErr w:type="spellStart"/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>Information</w:t>
      </w:r>
      <w:proofErr w:type="spellEnd"/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>".</w:t>
      </w:r>
    </w:p>
    <w:p w:rsidR="00DB791A" w:rsidRPr="003E6644" w:rsidRDefault="00DB791A" w:rsidP="00AB30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>Es conveniente tambié</w:t>
      </w:r>
      <w:r w:rsidR="00AB30E7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>n</w:t>
      </w:r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 xml:space="preserve"> que las actividades inherentes </w:t>
      </w:r>
      <w:proofErr w:type="gramStart"/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>al ciclos formativo</w:t>
      </w:r>
      <w:proofErr w:type="gramEnd"/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 xml:space="preserve"> para el que se solicita la estancia estén especificadas en el CV, especialmente para el alumnado para los que no se dispone de empresas.</w:t>
      </w:r>
    </w:p>
    <w:p w:rsidR="00DB791A" w:rsidRPr="003E6644" w:rsidRDefault="00DB791A" w:rsidP="00AB30E7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Segoe UI" w:eastAsia="Times New Roman" w:hAnsi="Segoe UI" w:cs="Segoe UI"/>
          <w:color w:val="212121"/>
          <w:sz w:val="23"/>
          <w:szCs w:val="23"/>
          <w:lang w:eastAsia="es-ES"/>
        </w:rPr>
      </w:pPr>
      <w:r w:rsidRPr="003E6644">
        <w:rPr>
          <w:rFonts w:ascii="Liberation Serif" w:eastAsia="Times New Roman" w:hAnsi="Liberation Serif" w:cs="Segoe UI"/>
          <w:color w:val="212121"/>
          <w:sz w:val="23"/>
          <w:szCs w:val="23"/>
          <w:lang w:eastAsia="es-ES"/>
        </w:rPr>
        <w:t>Adjuntamos modelo (MODELO_CV_EUROPASS.pdf).</w:t>
      </w:r>
    </w:p>
    <w:p w:rsidR="00DB791A" w:rsidRDefault="00DB791A" w:rsidP="00AB30E7">
      <w:pPr>
        <w:jc w:val="both"/>
      </w:pPr>
    </w:p>
    <w:p w:rsidR="00161D50" w:rsidRPr="00344B23" w:rsidRDefault="00161D50" w:rsidP="00AB30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4B2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u w:val="single"/>
          <w:shd w:val="clear" w:color="auto" w:fill="FFFFFF"/>
          <w:lang w:eastAsia="es-ES"/>
        </w:rPr>
        <w:t>Selección del alumnado</w:t>
      </w:r>
      <w:r w:rsidRPr="00344B23">
        <w:rPr>
          <w:rFonts w:ascii="Times New Roman" w:eastAsia="Times New Roman" w:hAnsi="Times New Roman" w:cs="Times New Roman"/>
          <w:color w:val="212121"/>
          <w:sz w:val="24"/>
          <w:szCs w:val="24"/>
          <w:shd w:val="clear" w:color="auto" w:fill="FFFFFF"/>
          <w:lang w:eastAsia="es-ES"/>
        </w:rPr>
        <w:br/>
      </w:r>
    </w:p>
    <w:p w:rsidR="00161D50" w:rsidRPr="00344B23" w:rsidRDefault="00161D50" w:rsidP="00AB30E7">
      <w:pPr>
        <w:numPr>
          <w:ilvl w:val="0"/>
          <w:numId w:val="1"/>
        </w:numPr>
        <w:shd w:val="clear" w:color="auto" w:fill="FFFFFF"/>
        <w:spacing w:before="100" w:beforeAutospacing="1" w:after="119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344B2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es-ES"/>
        </w:rPr>
        <w:t>Requisitos académico</w:t>
      </w:r>
      <w:r w:rsidRPr="00344B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s: todo el alumnado seleccionado deberá estar en disposición de realizar el módulo de Formación en Centros de Trabajo al momento de su salida. </w:t>
      </w:r>
    </w:p>
    <w:p w:rsidR="00AB30E7" w:rsidRDefault="00161D50" w:rsidP="00AB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AB30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es-ES"/>
        </w:rPr>
        <w:t>Criterios de idiomas</w:t>
      </w:r>
      <w:r w:rsidRPr="00AB30E7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: el Departamento de Idiomas del centro deberá realizar una prueba de comprensión y expresión oral en inglés dentro de los contenidos expresados en la tabla de autoevalu</w:t>
      </w:r>
      <w:r w:rsidR="00AB30E7" w:rsidRPr="00AB30E7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a</w:t>
      </w:r>
      <w:r w:rsidRPr="00AB30E7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ción de los Niveles Europeos del Marco Europeo de Referencia relativas </w:t>
      </w:r>
      <w:r w:rsidRPr="00AB30E7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es-ES"/>
        </w:rPr>
        <w:t>al nivel B1.</w:t>
      </w:r>
      <w:r w:rsidRPr="00AB30E7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 Esta prueba ha de realizarse incluso si tiene el nivel acreditado oficialmente.</w:t>
      </w:r>
    </w:p>
    <w:p w:rsidR="00AB30E7" w:rsidRDefault="00AB30E7" w:rsidP="00AB30E7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AB30E7" w:rsidRDefault="00161D50" w:rsidP="00AB30E7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AB30E7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lastRenderedPageBreak/>
        <w:t>La prueba debe incluir un cuestionario con carácter general para medir los intereses y motivaciones del alumnado al solicitar la plaza y contar con preguntas específicas al ciclo formativo que está cursando, reproduciendo el modelo de una entrevista profesional.</w:t>
      </w:r>
    </w:p>
    <w:p w:rsidR="00AB30E7" w:rsidRPr="00AB30E7" w:rsidRDefault="00AB30E7" w:rsidP="00AB30E7">
      <w:pPr>
        <w:shd w:val="clear" w:color="auto" w:fill="FFFFFF"/>
        <w:spacing w:before="100" w:beforeAutospacing="1" w:after="119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161D50" w:rsidRPr="00344B23" w:rsidRDefault="00161D50" w:rsidP="00AB30E7">
      <w:pPr>
        <w:numPr>
          <w:ilvl w:val="0"/>
          <w:numId w:val="3"/>
        </w:numPr>
        <w:shd w:val="clear" w:color="auto" w:fill="FFFFFF"/>
        <w:spacing w:before="100" w:beforeAutospacing="1" w:after="119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344B23">
        <w:rPr>
          <w:rFonts w:ascii="Times New Roman" w:eastAsia="Times New Roman" w:hAnsi="Times New Roman" w:cs="Times New Roman"/>
          <w:b/>
          <w:bCs/>
          <w:color w:val="212121"/>
          <w:sz w:val="24"/>
          <w:szCs w:val="24"/>
          <w:lang w:eastAsia="es-ES"/>
        </w:rPr>
        <w:t>Criterios de idoneidad</w:t>
      </w:r>
      <w:r w:rsidRPr="00344B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: el Departamento de Orientación deberá realizar entrevistas individualizadas a cada solicitante y emitir un certificado de idoneidad para la realización de la fase de prácticas en otros países de la Unión Europea. </w:t>
      </w:r>
    </w:p>
    <w:p w:rsidR="00161D50" w:rsidRPr="00344B23" w:rsidRDefault="00161D50" w:rsidP="00AB30E7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  <w:r w:rsidRPr="00344B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>En el caso de que participe alumnado extracomunitario, es imprescindible contar con el permiso de residencia en vigor durante todo el período de la estancia y confirmar el protocolo de visados necesarios de su país de origen y confirmar el protocolo de visados necesarios en el país de acogida.</w:t>
      </w:r>
    </w:p>
    <w:p w:rsidR="00161D50" w:rsidRPr="00344B23" w:rsidRDefault="00161D50" w:rsidP="00AB30E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4B23"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  <w:t xml:space="preserve">Como informamos anteriormente, el alumnado tiene que ser consciente de que tendrá que estar dispuesto a adelantar las cantidades relativas a sus becas incluso hasta después de su regreso. </w:t>
      </w:r>
    </w:p>
    <w:p w:rsidR="00344B23" w:rsidRPr="00344B23" w:rsidRDefault="00344B23" w:rsidP="00AB30E7">
      <w:pPr>
        <w:spacing w:after="0" w:line="262" w:lineRule="auto"/>
        <w:ind w:right="32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344B23" w:rsidRPr="00344B23" w:rsidRDefault="00344B23" w:rsidP="00AB30E7">
      <w:pPr>
        <w:spacing w:after="0" w:line="262" w:lineRule="auto"/>
        <w:ind w:right="328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eastAsia="es-ES"/>
        </w:rPr>
      </w:pPr>
    </w:p>
    <w:p w:rsidR="00344B23" w:rsidRPr="00344B23" w:rsidRDefault="00344B23" w:rsidP="00AB30E7">
      <w:pPr>
        <w:spacing w:after="0" w:line="262" w:lineRule="auto"/>
        <w:ind w:right="328"/>
        <w:jc w:val="both"/>
        <w:rPr>
          <w:rFonts w:ascii="Times New Roman" w:eastAsia="Arial" w:hAnsi="Times New Roman" w:cs="Times New Roman"/>
          <w:b/>
          <w:sz w:val="24"/>
          <w:szCs w:val="24"/>
          <w:u w:val="single"/>
          <w:lang w:eastAsia="es-ES"/>
        </w:rPr>
      </w:pPr>
      <w:r w:rsidRPr="00344B23">
        <w:rPr>
          <w:rFonts w:ascii="Times New Roman" w:eastAsia="Times New Roman" w:hAnsi="Times New Roman" w:cs="Times New Roman"/>
          <w:b/>
          <w:color w:val="212121"/>
          <w:sz w:val="24"/>
          <w:szCs w:val="24"/>
          <w:u w:val="single"/>
          <w:lang w:eastAsia="es-ES"/>
        </w:rPr>
        <w:t>Aportaciones a la movilidad</w:t>
      </w:r>
    </w:p>
    <w:p w:rsidR="00344B23" w:rsidRPr="00344B23" w:rsidRDefault="00344B23" w:rsidP="00AB30E7">
      <w:pPr>
        <w:spacing w:after="0" w:line="262" w:lineRule="auto"/>
        <w:ind w:left="880" w:right="328" w:firstLine="340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</w:p>
    <w:p w:rsidR="00344B23" w:rsidRPr="00344B23" w:rsidRDefault="00344B23" w:rsidP="00AB30E7">
      <w:pPr>
        <w:spacing w:after="0" w:line="262" w:lineRule="auto"/>
        <w:ind w:left="880" w:right="328" w:firstLine="340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</w:p>
    <w:p w:rsidR="00344B23" w:rsidRPr="00344B23" w:rsidRDefault="00344B23" w:rsidP="00AB30E7">
      <w:pPr>
        <w:spacing w:after="0" w:line="262" w:lineRule="auto"/>
        <w:ind w:left="880" w:right="328" w:firstLine="340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  <w:r w:rsidRPr="00344B23">
        <w:rPr>
          <w:rFonts w:ascii="Times New Roman" w:eastAsia="Arial" w:hAnsi="Times New Roman" w:cs="Times New Roman"/>
          <w:sz w:val="24"/>
          <w:szCs w:val="24"/>
          <w:lang w:eastAsia="es-ES"/>
        </w:rPr>
        <w:t>Primero. Establecer las aportaciones de la Administración de la Junta de Andalucía, en función de los distintos grupos de países establecidos, así como la cuantía correspondiente a la ayuda base y a la ayuda especial para el curso 2018/2019 en el Programa «Erasmus», de acuerdo con lo señalado en el cuadro siguiente:</w:t>
      </w:r>
    </w:p>
    <w:p w:rsidR="00344B23" w:rsidRPr="00344B23" w:rsidRDefault="00344B23" w:rsidP="00AB30E7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344B23">
        <w:rPr>
          <w:rFonts w:ascii="Times New Roman" w:eastAsia="Arial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469EB52D" wp14:editId="51996759">
            <wp:simplePos x="0" y="0"/>
            <wp:positionH relativeFrom="column">
              <wp:posOffset>902335</wp:posOffset>
            </wp:positionH>
            <wp:positionV relativeFrom="paragraph">
              <wp:posOffset>81915</wp:posOffset>
            </wp:positionV>
            <wp:extent cx="4358640" cy="322580"/>
            <wp:effectExtent l="0" t="0" r="3810" b="127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8640" cy="3225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44B23" w:rsidRPr="00344B23" w:rsidRDefault="00344B23" w:rsidP="00AB30E7">
      <w:pPr>
        <w:spacing w:after="0" w:line="104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tbl>
      <w:tblPr>
        <w:tblW w:w="0" w:type="auto"/>
        <w:tblInd w:w="145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60"/>
        <w:gridCol w:w="2620"/>
        <w:gridCol w:w="2760"/>
      </w:tblGrid>
      <w:tr w:rsidR="00344B23" w:rsidRPr="00344B23" w:rsidTr="00224DF4">
        <w:trPr>
          <w:trHeight w:val="233"/>
        </w:trPr>
        <w:tc>
          <w:tcPr>
            <w:tcW w:w="146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es-ES"/>
              </w:rPr>
              <w:t>Grupos de países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es-ES"/>
              </w:rPr>
              <w:t>Ayuda Base Junta de Andalucía</w:t>
            </w:r>
          </w:p>
        </w:tc>
        <w:tc>
          <w:tcPr>
            <w:tcW w:w="276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es-ES"/>
              </w:rPr>
              <w:t>Ayuda Especial Junta de Andalucía</w:t>
            </w:r>
          </w:p>
        </w:tc>
      </w:tr>
      <w:tr w:rsidR="00344B23" w:rsidRPr="00344B23" w:rsidTr="00224DF4">
        <w:trPr>
          <w:trHeight w:val="276"/>
        </w:trPr>
        <w:tc>
          <w:tcPr>
            <w:tcW w:w="1460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2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es-ES"/>
              </w:rPr>
              <w:t>(Cuantía, euros/mes)</w:t>
            </w:r>
          </w:p>
        </w:tc>
        <w:tc>
          <w:tcPr>
            <w:tcW w:w="276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w w:val="99"/>
                <w:sz w:val="24"/>
                <w:szCs w:val="24"/>
                <w:lang w:eastAsia="es-ES"/>
              </w:rPr>
              <w:t>(Cuantía, euros/mes)</w:t>
            </w:r>
          </w:p>
        </w:tc>
      </w:tr>
      <w:tr w:rsidR="00344B23" w:rsidRPr="00344B23" w:rsidTr="00224DF4">
        <w:trPr>
          <w:trHeight w:val="96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2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60" w:type="dxa"/>
            <w:vMerge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44B23" w:rsidRPr="00344B23" w:rsidTr="00224DF4">
        <w:trPr>
          <w:trHeight w:val="2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44B23" w:rsidRPr="00344B23" w:rsidTr="00224DF4">
        <w:trPr>
          <w:trHeight w:val="23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w w:val="93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w w:val="93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sz w:val="24"/>
                <w:szCs w:val="24"/>
                <w:lang w:eastAsia="es-ES"/>
              </w:rPr>
              <w:t>250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w w:val="97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w w:val="97"/>
                <w:sz w:val="24"/>
                <w:szCs w:val="24"/>
                <w:lang w:eastAsia="es-ES"/>
              </w:rPr>
              <w:t>188</w:t>
            </w:r>
          </w:p>
        </w:tc>
      </w:tr>
      <w:tr w:rsidR="00344B23" w:rsidRPr="00344B23" w:rsidTr="00224DF4">
        <w:trPr>
          <w:trHeight w:val="2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20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44B23" w:rsidRPr="00344B23" w:rsidTr="00224DF4">
        <w:trPr>
          <w:trHeight w:val="23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w w:val="93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w w:val="93"/>
                <w:sz w:val="24"/>
                <w:szCs w:val="24"/>
                <w:lang w:eastAsia="es-ES"/>
              </w:rPr>
              <w:t>B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sz w:val="24"/>
                <w:szCs w:val="24"/>
                <w:lang w:eastAsia="es-ES"/>
              </w:rPr>
              <w:t>218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w w:val="97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w w:val="97"/>
                <w:sz w:val="24"/>
                <w:szCs w:val="24"/>
                <w:lang w:eastAsia="es-ES"/>
              </w:rPr>
              <w:t>164</w:t>
            </w:r>
          </w:p>
        </w:tc>
      </w:tr>
      <w:tr w:rsidR="00344B23" w:rsidRPr="00344B23" w:rsidTr="00224DF4">
        <w:trPr>
          <w:trHeight w:val="2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44B23" w:rsidRPr="00344B23" w:rsidTr="00224DF4">
        <w:trPr>
          <w:trHeight w:val="23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sz w:val="24"/>
                <w:szCs w:val="24"/>
                <w:lang w:eastAsia="es-ES"/>
              </w:rPr>
              <w:t>C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sz w:val="24"/>
                <w:szCs w:val="24"/>
                <w:lang w:eastAsia="es-ES"/>
              </w:rPr>
              <w:t>193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w w:val="97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w w:val="97"/>
                <w:sz w:val="24"/>
                <w:szCs w:val="24"/>
                <w:lang w:eastAsia="es-ES"/>
              </w:rPr>
              <w:t>145</w:t>
            </w:r>
          </w:p>
        </w:tc>
      </w:tr>
      <w:tr w:rsidR="00344B23" w:rsidRPr="00344B23" w:rsidTr="00224DF4">
        <w:trPr>
          <w:trHeight w:val="2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44B23" w:rsidRPr="00344B23" w:rsidTr="00224DF4">
        <w:trPr>
          <w:trHeight w:val="233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sz w:val="24"/>
                <w:szCs w:val="24"/>
                <w:lang w:eastAsia="es-ES"/>
              </w:rPr>
              <w:t>D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sz w:val="24"/>
                <w:szCs w:val="24"/>
                <w:lang w:eastAsia="es-ES"/>
              </w:rPr>
              <w:t>125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sz w:val="24"/>
                <w:szCs w:val="24"/>
                <w:lang w:eastAsia="es-ES"/>
              </w:rPr>
              <w:t>94</w:t>
            </w:r>
          </w:p>
        </w:tc>
      </w:tr>
      <w:tr w:rsidR="00344B23" w:rsidRPr="00344B23" w:rsidTr="00224DF4">
        <w:trPr>
          <w:trHeight w:val="23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  <w:tr w:rsidR="00344B23" w:rsidRPr="00344B23" w:rsidTr="00224DF4">
        <w:trPr>
          <w:trHeight w:val="231"/>
        </w:trPr>
        <w:tc>
          <w:tcPr>
            <w:tcW w:w="146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w w:val="93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w w:val="93"/>
                <w:sz w:val="24"/>
                <w:szCs w:val="24"/>
                <w:lang w:eastAsia="es-ES"/>
              </w:rPr>
              <w:t>E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sz w:val="24"/>
                <w:szCs w:val="24"/>
                <w:lang w:eastAsia="es-ES"/>
              </w:rPr>
              <w:t>100</w:t>
            </w:r>
          </w:p>
        </w:tc>
        <w:tc>
          <w:tcPr>
            <w:tcW w:w="276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eastAsia="es-ES"/>
              </w:rPr>
            </w:pPr>
            <w:r w:rsidRPr="00344B23">
              <w:rPr>
                <w:rFonts w:ascii="Times New Roman" w:eastAsia="Arial" w:hAnsi="Times New Roman" w:cs="Times New Roman"/>
                <w:sz w:val="24"/>
                <w:szCs w:val="24"/>
                <w:lang w:eastAsia="es-ES"/>
              </w:rPr>
              <w:t>75</w:t>
            </w:r>
          </w:p>
        </w:tc>
      </w:tr>
      <w:tr w:rsidR="00344B23" w:rsidRPr="00344B23" w:rsidTr="00224DF4">
        <w:trPr>
          <w:trHeight w:val="25"/>
        </w:trPr>
        <w:tc>
          <w:tcPr>
            <w:tcW w:w="14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  <w:tc>
          <w:tcPr>
            <w:tcW w:w="276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44B23" w:rsidRPr="00344B23" w:rsidRDefault="00344B23" w:rsidP="00AB30E7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s-ES"/>
              </w:rPr>
            </w:pPr>
          </w:p>
        </w:tc>
      </w:tr>
    </w:tbl>
    <w:p w:rsidR="00344B23" w:rsidRPr="00344B23" w:rsidRDefault="00344B23" w:rsidP="00AB30E7">
      <w:pPr>
        <w:spacing w:after="0" w:line="15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AB30E7" w:rsidRDefault="00AB30E7" w:rsidP="00AB30E7">
      <w:pPr>
        <w:spacing w:after="0" w:line="0" w:lineRule="atLeast"/>
        <w:ind w:left="1220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</w:p>
    <w:p w:rsidR="00AB30E7" w:rsidRDefault="00AB30E7" w:rsidP="00AB30E7">
      <w:pPr>
        <w:spacing w:after="0" w:line="0" w:lineRule="atLeast"/>
        <w:ind w:left="1220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</w:p>
    <w:p w:rsidR="00AB30E7" w:rsidRDefault="00AB30E7" w:rsidP="00AB30E7">
      <w:pPr>
        <w:spacing w:after="0" w:line="0" w:lineRule="atLeast"/>
        <w:ind w:left="1220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</w:p>
    <w:p w:rsidR="00344B23" w:rsidRDefault="00344B23" w:rsidP="00AB30E7">
      <w:pPr>
        <w:spacing w:after="0" w:line="0" w:lineRule="atLeast"/>
        <w:ind w:left="1220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  <w:r w:rsidRPr="00344B23">
        <w:rPr>
          <w:rFonts w:ascii="Times New Roman" w:eastAsia="Arial" w:hAnsi="Times New Roman" w:cs="Times New Roman"/>
          <w:sz w:val="24"/>
          <w:szCs w:val="24"/>
          <w:lang w:eastAsia="es-ES"/>
        </w:rPr>
        <w:lastRenderedPageBreak/>
        <w:t>Segundo. Se establecen dos tipos de ayudas:</w:t>
      </w:r>
    </w:p>
    <w:p w:rsidR="00AB30E7" w:rsidRPr="00344B23" w:rsidRDefault="00AB30E7" w:rsidP="00AB30E7">
      <w:pPr>
        <w:spacing w:after="0" w:line="0" w:lineRule="atLeast"/>
        <w:ind w:left="1220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  <w:bookmarkStart w:id="0" w:name="_GoBack"/>
      <w:bookmarkEnd w:id="0"/>
    </w:p>
    <w:p w:rsidR="00344B23" w:rsidRPr="00344B23" w:rsidRDefault="00344B23" w:rsidP="00AB30E7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4B23" w:rsidRPr="00344B23" w:rsidRDefault="00344B23" w:rsidP="00AB30E7">
      <w:pPr>
        <w:numPr>
          <w:ilvl w:val="0"/>
          <w:numId w:val="6"/>
        </w:numPr>
        <w:tabs>
          <w:tab w:val="left" w:pos="1477"/>
        </w:tabs>
        <w:spacing w:after="0" w:line="260" w:lineRule="auto"/>
        <w:ind w:left="880" w:right="328" w:firstLine="344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  <w:r w:rsidRPr="00344B23">
        <w:rPr>
          <w:rFonts w:ascii="Times New Roman" w:eastAsia="Arial" w:hAnsi="Times New Roman" w:cs="Times New Roman"/>
          <w:sz w:val="24"/>
          <w:szCs w:val="24"/>
          <w:lang w:eastAsia="es-ES"/>
        </w:rPr>
        <w:t>La Ayuda Base tiene carácter general para todo el alumnado universitario del Programa «Erasmus».</w:t>
      </w:r>
    </w:p>
    <w:p w:rsidR="00344B23" w:rsidRPr="00344B23" w:rsidRDefault="00344B23" w:rsidP="00AB30E7">
      <w:pPr>
        <w:spacing w:after="0" w:line="1" w:lineRule="exact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</w:p>
    <w:p w:rsidR="00344B23" w:rsidRPr="00344B23" w:rsidRDefault="00344B23" w:rsidP="00AB30E7">
      <w:pPr>
        <w:numPr>
          <w:ilvl w:val="0"/>
          <w:numId w:val="6"/>
        </w:numPr>
        <w:tabs>
          <w:tab w:val="left" w:pos="1508"/>
        </w:tabs>
        <w:spacing w:after="0" w:line="266" w:lineRule="auto"/>
        <w:ind w:left="880" w:right="328" w:firstLine="344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  <w:r w:rsidRPr="00344B23">
        <w:rPr>
          <w:rFonts w:ascii="Times New Roman" w:eastAsia="Arial" w:hAnsi="Times New Roman" w:cs="Times New Roman"/>
          <w:sz w:val="24"/>
          <w:szCs w:val="24"/>
          <w:lang w:eastAsia="es-ES"/>
        </w:rPr>
        <w:t>La Ayuda Especial la percibirá sólo el alumnado universitario del Programa «Erasmus» que cumpla los requisitos económicos para obtener becas y ayudas de estudio de acuerdo con lo establecido en el capítulo IV del Real Decreto 726/2017, de 21 de julio, por el que se establecen los umbrales de renta y patrimonio familiar y las cuantías de las becas y ayudas al estudio para el curso 2017-2018, y se modifica el Real Decreto 1721/2007, de 21 de diciembre, por el que se establece el régimen de las becas y ayudas al estudio personalizadas.</w:t>
      </w:r>
    </w:p>
    <w:p w:rsidR="00344B23" w:rsidRPr="00344B23" w:rsidRDefault="00344B23" w:rsidP="00AB30E7">
      <w:pPr>
        <w:spacing w:after="0" w:line="19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4B23" w:rsidRPr="00344B23" w:rsidRDefault="00344B23" w:rsidP="00AB30E7">
      <w:pPr>
        <w:spacing w:after="0" w:line="260" w:lineRule="auto"/>
        <w:ind w:left="880" w:right="328" w:firstLine="340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  <w:r w:rsidRPr="00344B23">
        <w:rPr>
          <w:rFonts w:ascii="Times New Roman" w:eastAsia="Arial" w:hAnsi="Times New Roman" w:cs="Times New Roman"/>
          <w:sz w:val="24"/>
          <w:szCs w:val="24"/>
          <w:lang w:eastAsia="es-ES"/>
        </w:rPr>
        <w:t>Tercero. Se establece la siguiente clasificación de países de destino del Programa «Erasmus»:</w:t>
      </w:r>
    </w:p>
    <w:p w:rsidR="00344B23" w:rsidRPr="00344B23" w:rsidRDefault="00344B23" w:rsidP="00AB30E7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4B23" w:rsidRPr="00344B23" w:rsidRDefault="00344B23" w:rsidP="00AB30E7">
      <w:pPr>
        <w:spacing w:after="0" w:line="260" w:lineRule="auto"/>
        <w:ind w:left="1460" w:right="328" w:hanging="226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  <w:r w:rsidRPr="00344B23">
        <w:rPr>
          <w:rFonts w:ascii="Times New Roman" w:eastAsia="Arial" w:hAnsi="Times New Roman" w:cs="Times New Roman"/>
          <w:sz w:val="24"/>
          <w:szCs w:val="24"/>
          <w:lang w:eastAsia="es-ES"/>
        </w:rPr>
        <w:t>Grupo A: Alemania, Austria, Dinamarca, Irlanda, Islandia, Liechtenstein, Luxemburgo, Noruega, Países Bajos y Suecia.</w:t>
      </w:r>
    </w:p>
    <w:p w:rsidR="00344B23" w:rsidRPr="00344B23" w:rsidRDefault="00344B23" w:rsidP="00AB30E7">
      <w:pPr>
        <w:spacing w:after="0" w:line="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4B23" w:rsidRPr="00344B23" w:rsidRDefault="00344B23" w:rsidP="00AB30E7">
      <w:pPr>
        <w:spacing w:after="0" w:line="0" w:lineRule="atLeast"/>
        <w:ind w:left="1220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  <w:r w:rsidRPr="00344B23">
        <w:rPr>
          <w:rFonts w:ascii="Times New Roman" w:eastAsia="Arial" w:hAnsi="Times New Roman" w:cs="Times New Roman"/>
          <w:sz w:val="24"/>
          <w:szCs w:val="24"/>
          <w:lang w:eastAsia="es-ES"/>
        </w:rPr>
        <w:t>Grupo B: Bélgica y Finlandia.</w:t>
      </w:r>
    </w:p>
    <w:p w:rsidR="00344B23" w:rsidRPr="00344B23" w:rsidRDefault="00344B23" w:rsidP="00AB30E7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4B23" w:rsidRPr="00344B23" w:rsidRDefault="00344B23" w:rsidP="00AB30E7">
      <w:pPr>
        <w:spacing w:after="0" w:line="0" w:lineRule="atLeast"/>
        <w:ind w:left="1220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  <w:r w:rsidRPr="00344B23">
        <w:rPr>
          <w:rFonts w:ascii="Times New Roman" w:eastAsia="Arial" w:hAnsi="Times New Roman" w:cs="Times New Roman"/>
          <w:sz w:val="24"/>
          <w:szCs w:val="24"/>
          <w:lang w:eastAsia="es-ES"/>
        </w:rPr>
        <w:t>Grupo C: Francia, Italia, Malta y Reino Unido.</w:t>
      </w:r>
    </w:p>
    <w:p w:rsidR="00344B23" w:rsidRPr="00344B23" w:rsidRDefault="00344B23" w:rsidP="00AB30E7">
      <w:pPr>
        <w:spacing w:after="0" w:line="20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4B23" w:rsidRPr="00344B23" w:rsidRDefault="00344B23" w:rsidP="00AB30E7">
      <w:pPr>
        <w:spacing w:after="0" w:line="0" w:lineRule="atLeast"/>
        <w:ind w:left="1220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  <w:r w:rsidRPr="00344B23">
        <w:rPr>
          <w:rFonts w:ascii="Times New Roman" w:eastAsia="Arial" w:hAnsi="Times New Roman" w:cs="Times New Roman"/>
          <w:sz w:val="24"/>
          <w:szCs w:val="24"/>
          <w:lang w:eastAsia="es-ES"/>
        </w:rPr>
        <w:t>Grupo D: Chipre, Eslovaquia, Eslovenia, Estonia, Lituania, Portugal y República Checa.</w:t>
      </w:r>
    </w:p>
    <w:p w:rsidR="00344B23" w:rsidRPr="00344B23" w:rsidRDefault="00344B23" w:rsidP="00AB30E7">
      <w:pPr>
        <w:spacing w:after="0" w:line="31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4B23" w:rsidRPr="00344B23" w:rsidRDefault="00344B23" w:rsidP="00AB30E7">
      <w:pPr>
        <w:spacing w:after="0" w:line="297" w:lineRule="auto"/>
        <w:ind w:left="1460" w:right="328" w:hanging="226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  <w:r w:rsidRPr="00344B23">
        <w:rPr>
          <w:rFonts w:ascii="Times New Roman" w:eastAsia="Arial" w:hAnsi="Times New Roman" w:cs="Times New Roman"/>
          <w:sz w:val="24"/>
          <w:szCs w:val="24"/>
          <w:lang w:eastAsia="es-ES"/>
        </w:rPr>
        <w:t>Grupo E: Antigua República Yugoslava de Macedonia, Bulgaria, Croacia, Grecia, Hungría, Letonia, Polonia, Rumanía y Turquía.</w:t>
      </w:r>
    </w:p>
    <w:p w:rsidR="00344B23" w:rsidRPr="00344B23" w:rsidRDefault="00344B23" w:rsidP="00AB30E7">
      <w:pPr>
        <w:spacing w:after="0" w:line="157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p w:rsidR="00344B23" w:rsidRDefault="00344B23" w:rsidP="00AB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  <w:r w:rsidRPr="00344B23">
        <w:rPr>
          <w:rFonts w:ascii="Times New Roman" w:eastAsia="Arial" w:hAnsi="Times New Roman" w:cs="Times New Roman"/>
          <w:sz w:val="24"/>
          <w:szCs w:val="24"/>
          <w:lang w:eastAsia="es-ES"/>
        </w:rPr>
        <w:t>Cuarto. Los importes de las ayudas determinados en el anterior cuadro son mensuales</w:t>
      </w:r>
    </w:p>
    <w:p w:rsidR="00DB791A" w:rsidRDefault="00DB791A" w:rsidP="00AB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es-ES"/>
        </w:rPr>
      </w:pPr>
    </w:p>
    <w:p w:rsidR="00DB791A" w:rsidRPr="00AB30E7" w:rsidRDefault="00DB791A" w:rsidP="00AB30E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es-ES"/>
        </w:rPr>
      </w:pPr>
      <w:r w:rsidRPr="00AB30E7">
        <w:rPr>
          <w:rFonts w:ascii="Times New Roman" w:eastAsia="Arial" w:hAnsi="Times New Roman" w:cs="Times New Roman"/>
          <w:b/>
          <w:sz w:val="24"/>
          <w:szCs w:val="24"/>
          <w:lang w:eastAsia="es-ES"/>
        </w:rPr>
        <w:t>Las pruebas de selección de alumnos se realizarán el miércoles, día 7 de noviembre</w:t>
      </w:r>
      <w:r w:rsidR="00AB30E7" w:rsidRPr="00AB30E7">
        <w:rPr>
          <w:rFonts w:ascii="Times New Roman" w:eastAsia="Arial" w:hAnsi="Times New Roman" w:cs="Times New Roman"/>
          <w:b/>
          <w:sz w:val="24"/>
          <w:szCs w:val="24"/>
          <w:lang w:eastAsia="es-ES"/>
        </w:rPr>
        <w:t>:</w:t>
      </w:r>
    </w:p>
    <w:p w:rsidR="00AB30E7" w:rsidRPr="00AB30E7" w:rsidRDefault="00AB30E7" w:rsidP="00AB30E7">
      <w:pPr>
        <w:pStyle w:val="Prrafodelista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es-ES"/>
        </w:rPr>
      </w:pPr>
      <w:r w:rsidRPr="00AB30E7">
        <w:rPr>
          <w:rFonts w:ascii="Times New Roman" w:eastAsia="Arial" w:hAnsi="Times New Roman" w:cs="Times New Roman"/>
          <w:b/>
          <w:sz w:val="24"/>
          <w:szCs w:val="24"/>
          <w:lang w:eastAsia="es-ES"/>
        </w:rPr>
        <w:t>A las 10,30 horas en el Departamento de Orientación.</w:t>
      </w:r>
    </w:p>
    <w:p w:rsidR="00AB30E7" w:rsidRPr="00AB30E7" w:rsidRDefault="00AB30E7" w:rsidP="00AB30E7">
      <w:pPr>
        <w:pStyle w:val="Prrafodelista"/>
        <w:numPr>
          <w:ilvl w:val="1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Arial" w:hAnsi="Times New Roman" w:cs="Times New Roman"/>
          <w:b/>
          <w:sz w:val="24"/>
          <w:szCs w:val="24"/>
          <w:lang w:eastAsia="es-ES"/>
        </w:rPr>
      </w:pPr>
      <w:r w:rsidRPr="00AB30E7">
        <w:rPr>
          <w:rFonts w:ascii="Times New Roman" w:eastAsia="Arial" w:hAnsi="Times New Roman" w:cs="Times New Roman"/>
          <w:b/>
          <w:sz w:val="24"/>
          <w:szCs w:val="24"/>
          <w:lang w:eastAsia="es-ES"/>
        </w:rPr>
        <w:t xml:space="preserve">A las 13,00 horas en el Departamento de Inglés. </w:t>
      </w:r>
    </w:p>
    <w:sectPr w:rsidR="00AB30E7" w:rsidRPr="00AB30E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327B23C6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3FA0B04"/>
    <w:multiLevelType w:val="multilevel"/>
    <w:tmpl w:val="702A7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57604A"/>
    <w:multiLevelType w:val="multilevel"/>
    <w:tmpl w:val="F822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018"/>
      <w:numFmt w:val="bullet"/>
      <w:lvlText w:val="-"/>
      <w:lvlJc w:val="left"/>
      <w:pPr>
        <w:ind w:left="1440" w:hanging="360"/>
      </w:pPr>
      <w:rPr>
        <w:rFonts w:ascii="Times New Roman" w:eastAsia="Arial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775662A"/>
    <w:multiLevelType w:val="multilevel"/>
    <w:tmpl w:val="5DA4B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7EA78A9"/>
    <w:multiLevelType w:val="multilevel"/>
    <w:tmpl w:val="7A489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1D2531B"/>
    <w:multiLevelType w:val="multilevel"/>
    <w:tmpl w:val="0546B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2F73892"/>
    <w:multiLevelType w:val="multilevel"/>
    <w:tmpl w:val="FDD2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D50"/>
    <w:rsid w:val="00161D50"/>
    <w:rsid w:val="00344B23"/>
    <w:rsid w:val="00480D66"/>
    <w:rsid w:val="00855D3E"/>
    <w:rsid w:val="00AB30E7"/>
    <w:rsid w:val="00DB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0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B30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dofp.es/orientacion-profesional/itinerarios-formativos-profesionales/movilidad/que-es-el-suplemento-europass/titulos-logs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todofp.es/orientacion-profesional/itinerarios-formativos-profesionales/movilidad/que-es-el-suplemento-europass/titulos-loe/grado-superior-en-ingl-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dofp.es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812</Words>
  <Characters>4471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2018-11-05T17:10:00Z</dcterms:created>
  <dcterms:modified xsi:type="dcterms:W3CDTF">2018-11-05T17:10:00Z</dcterms:modified>
</cp:coreProperties>
</file>